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272114f0d4395" /><Relationship Type="http://schemas.openxmlformats.org/package/2006/relationships/metadata/core-properties" Target="/docProps/core.xml" Id="R796bfecc9c6a4a7c" /><Relationship Type="http://schemas.openxmlformats.org/officeDocument/2006/relationships/extended-properties" Target="/docProps/app.xml" Id="Rc071529b1f664ad0" /><Relationship Type="http://schemas.openxmlformats.org/officeDocument/2006/relationships/custom-properties" Target="/docProps/custom.xml" Id="R5dff450ad75443b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68" w:right="-20"/>
        <w:spacing w:before="0" w:after="0" w:lineRule="auto" w:line="240"/>
        <w:widowControl w:val="0"/>
      </w:pPr>
      <w:bookmarkStart w:id="0" w:name="_page_32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637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«____»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322"/>
          <w:tab w:val="left" w:leader="none" w:pos="3743"/>
          <w:tab w:val="left" w:leader="none" w:pos="5097"/>
          <w:tab w:val="left" w:leader="none" w:pos="5810"/>
          <w:tab w:val="left" w:leader="none" w:pos="6347"/>
          <w:tab w:val="left" w:leader="none" w:pos="8148"/>
        </w:tabs>
        <w:jc w:val="both"/>
        <w:ind w:firstLine="567" w:left="0" w:right="26"/>
        <w:spacing w:before="0" w:after="0" w:lineRule="auto" w:line="275"/>
        <w:widowControl w:val="0"/>
      </w:pPr>
      <w:r>
        <mc:AlternateContent>
          <mc:Choice Requires="wpg">
            <w:drawing>
              <wp:anchor allowOverlap="1" layoutInCell="0" relativeHeight="816" locked="0" simplePos="0" distL="114300" distT="0" distR="114300" distB="0" behindDoc="1">
                <wp:simplePos x="0" y="0"/>
                <wp:positionH relativeFrom="page">
                  <wp:posOffset>1061466</wp:posOffset>
                </wp:positionH>
                <wp:positionV relativeFrom="paragraph">
                  <wp:posOffset>-321260</wp:posOffset>
                </wp:positionV>
                <wp:extent cx="5978652" cy="2823209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652" cy="2823209"/>
                          <a:chOff x="0" y="0"/>
                          <a:chExt cx="5978652" cy="282320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5951219" cy="323088"/>
                          </a:xfrm>
                          <a:custGeom>
                            <a:avLst/>
                            <a:pathLst>
                              <a:path w="5951219"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  <a:lnTo>
                                  <a:pt x="5951219" y="0"/>
                                </a:lnTo>
                                <a:lnTo>
                                  <a:pt x="5951219" y="323088"/>
                                </a:lnTo>
                                <a:lnTo>
                                  <a:pt x="0" y="32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323088"/>
                            <a:ext cx="5951219" cy="184403"/>
                          </a:xfrm>
                          <a:custGeom>
                            <a:avLst/>
                            <a:pathLst>
                              <a:path w="5951219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  <a:lnTo>
                                  <a:pt x="5951219" y="0"/>
                                </a:lnTo>
                                <a:lnTo>
                                  <a:pt x="5951219" y="184403"/>
                                </a:lnTo>
                                <a:lnTo>
                                  <a:pt x="0" y="184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507491"/>
                            <a:ext cx="5951219" cy="185166"/>
                          </a:xfrm>
                          <a:custGeom>
                            <a:avLst/>
                            <a:pathLst>
                              <a:path w="5951219" h="185166">
                                <a:moveTo>
                                  <a:pt x="0" y="185166"/>
                                </a:moveTo>
                                <a:lnTo>
                                  <a:pt x="0" y="0"/>
                                </a:lnTo>
                                <a:lnTo>
                                  <a:pt x="5951219" y="0"/>
                                </a:lnTo>
                                <a:lnTo>
                                  <a:pt x="5951219" y="185166"/>
                                </a:lnTo>
                                <a:lnTo>
                                  <a:pt x="0" y="185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692657"/>
                            <a:ext cx="5951219" cy="184404"/>
                          </a:xfrm>
                          <a:custGeom>
                            <a:avLst/>
                            <a:pathLst>
                              <a:path w="5951219"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  <a:lnTo>
                                  <a:pt x="5951219" y="0"/>
                                </a:lnTo>
                                <a:lnTo>
                                  <a:pt x="5951219" y="184404"/>
                                </a:lnTo>
                                <a:lnTo>
                                  <a:pt x="0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877061"/>
                            <a:ext cx="5951219" cy="185165"/>
                          </a:xfrm>
                          <a:custGeom>
                            <a:avLst/>
                            <a:pathLst>
                              <a:path w="5951219" h="185165">
                                <a:moveTo>
                                  <a:pt x="0" y="185165"/>
                                </a:moveTo>
                                <a:lnTo>
                                  <a:pt x="0" y="0"/>
                                </a:lnTo>
                                <a:lnTo>
                                  <a:pt x="5951219" y="0"/>
                                </a:lnTo>
                                <a:lnTo>
                                  <a:pt x="5951219" y="185165"/>
                                </a:lnTo>
                                <a:lnTo>
                                  <a:pt x="0" y="185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1062227"/>
                            <a:ext cx="5978652" cy="201168"/>
                          </a:xfrm>
                          <a:custGeom>
                            <a:avLst/>
                            <a:pathLst>
                              <a:path w="5978652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1263395"/>
                            <a:ext cx="5978652" cy="201930"/>
                          </a:xfrm>
                          <a:custGeom>
                            <a:avLst/>
                            <a:pathLst>
                              <a:path w="5978652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465326"/>
                            <a:ext cx="5978652" cy="201167"/>
                          </a:xfrm>
                          <a:custGeom>
                            <a:avLst/>
                            <a:pathLst>
                              <a:path w="597865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666493"/>
                            <a:ext cx="5978652" cy="201930"/>
                          </a:xfrm>
                          <a:custGeom>
                            <a:avLst/>
                            <a:pathLst>
                              <a:path w="5978652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868423"/>
                            <a:ext cx="5978652" cy="201167"/>
                          </a:xfrm>
                          <a:custGeom>
                            <a:avLst/>
                            <a:pathLst>
                              <a:path w="5978652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2069591"/>
                            <a:ext cx="5978652" cy="201930"/>
                          </a:xfrm>
                          <a:custGeom>
                            <a:avLst/>
                            <a:pathLst>
                              <a:path w="5978652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2271521"/>
                            <a:ext cx="5978652" cy="201167"/>
                          </a:xfrm>
                          <a:custGeom>
                            <a:avLst/>
                            <a:pathLst>
                              <a:path w="5978652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652" y="201167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28600" y="2472690"/>
                            <a:ext cx="5722619" cy="175259"/>
                          </a:xfrm>
                          <a:custGeom>
                            <a:avLst/>
                            <a:pathLst>
                              <a:path w="57226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2619" y="0"/>
                                </a:lnTo>
                                <a:lnTo>
                                  <a:pt x="57226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28600" y="2647950"/>
                            <a:ext cx="5722619" cy="175259"/>
                          </a:xfrm>
                          <a:custGeom>
                            <a:avLst/>
                            <a:pathLst>
                              <a:path w="57226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2619" y="175259"/>
                                </a:lnTo>
                                <a:lnTo>
                                  <a:pt x="5722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лищно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тво"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«Кириш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Кириш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9.01.2018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тороны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100"/>
          <w:tab w:val="left" w:leader="none" w:pos="4981"/>
          <w:tab w:val="left" w:leader="none" w:pos="6174"/>
        </w:tabs>
        <w:jc w:val="both"/>
        <w:ind w:firstLine="567" w:left="0" w:right="-18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ражданина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___________номер_____________,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совмест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едующем: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80" w:right="-20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059"/>
          <w:tab w:val="left" w:leader="none" w:pos="5497"/>
          <w:tab w:val="left" w:leader="none" w:pos="6409"/>
        </w:tabs>
        <w:jc w:val="both"/>
        <w:ind w:firstLine="239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еплосн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бжение,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горячей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60" w:right="-20"/>
        <w:spacing w:before="3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Параметры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прожива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ловек.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7"/>
        <w:spacing w:before="0" w:after="0" w:lineRule="auto" w:line="20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Параметры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оквартирного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сположено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лощадь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1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лощадь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многоквар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1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6"/>
        <w:spacing w:before="3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1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адлежащ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5"/>
          <w:tab w:val="left" w:leader="none" w:pos="3037"/>
          <w:tab w:val="left" w:leader="none" w:pos="4931"/>
          <w:tab w:val="left" w:leader="none" w:pos="6738"/>
          <w:tab w:val="left" w:leader="none" w:pos="7579"/>
          <w:tab w:val="left" w:leader="none" w:pos="9241"/>
        </w:tabs>
        <w:jc w:val="both"/>
        <w:ind w:firstLine="540" w:left="0" w:right="-1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надлежа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0" w:right="-19"/>
        <w:spacing w:before="1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4"/>
          <w:pgMar w:bottom="0" w:footer="0" w:gutter="0" w:header="0" w:left="1701" w:right="845" w:top="113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перерасчет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инженерных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bookmarkStart w:id="1" w:name="_page_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(сторонами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ресурса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ежаще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перерывами,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ебованиями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расчете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ежаще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перерывами,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40" w:right="16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87"/>
          <w:tab w:val="left" w:leader="none" w:pos="3521"/>
          <w:tab w:val="left" w:leader="none" w:pos="4746"/>
          <w:tab w:val="left" w:leader="none" w:pos="5152"/>
          <w:tab w:val="left" w:leader="none" w:pos="6596"/>
          <w:tab w:val="left" w:leader="none" w:pos="8679"/>
        </w:tabs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ередаваемых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2"/>
          <w:tab w:val="left" w:leader="none" w:pos="3212"/>
          <w:tab w:val="left" w:leader="none" w:pos="5341"/>
          <w:tab w:val="left" w:leader="none" w:pos="6080"/>
          <w:tab w:val="left" w:leader="none" w:pos="7734"/>
        </w:tabs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прожива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ирными)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составлять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влекать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бъеме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50"/>
          <w:tab w:val="left" w:leader="none" w:pos="3776"/>
          <w:tab w:val="left" w:leader="none" w:pos="4798"/>
          <w:tab w:val="left" w:leader="none" w:pos="6343"/>
          <w:tab w:val="left" w:leader="none" w:pos="7644"/>
          <w:tab w:val="left" w:leader="none" w:pos="8092"/>
          <w:tab w:val="left" w:leader="none" w:pos="8796"/>
        </w:tabs>
        <w:jc w:val="left"/>
        <w:ind w:firstLine="539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еисправнос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пожара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немедленно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1(1)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привлеченному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инженерных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многоквар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пожара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аварий;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7"/>
          <w:tab w:val="left" w:leader="none" w:pos="2048"/>
          <w:tab w:val="left" w:leader="none" w:pos="3914"/>
          <w:tab w:val="left" w:leader="none" w:pos="5003"/>
          <w:tab w:val="left" w:leader="none" w:pos="5867"/>
          <w:tab w:val="left" w:leader="none" w:pos="6434"/>
          <w:tab w:val="left" w:leader="none" w:pos="8018"/>
        </w:tabs>
        <w:jc w:val="left"/>
        <w:ind w:firstLine="539" w:left="0" w:right="-5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4"/>
          <w:pgMar w:bottom="0" w:footer="0" w:gutter="0" w:header="0" w:left="1701" w:right="845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надлежа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евременнос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одательством;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bookmarkStart w:id="2" w:name="_page_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неисправнос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еотображе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механическ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повреждения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межповерочного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интерва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езамедли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61"/>
          <w:tab w:val="left" w:leader="none" w:pos="4123"/>
          <w:tab w:val="left" w:leader="none" w:pos="4638"/>
          <w:tab w:val="left" w:leader="none" w:pos="6344"/>
          <w:tab w:val="left" w:leader="none" w:pos="7511"/>
        </w:tabs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оследующий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ускать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распредели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распредели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одтверд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временно)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анимаемом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зошед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4"/>
          <w:tab w:val="left" w:leader="none" w:pos="2720"/>
          <w:tab w:val="left" w:leader="none" w:pos="5142"/>
          <w:tab w:val="left" w:leader="none" w:pos="6704"/>
          <w:tab w:val="left" w:leader="none" w:pos="7835"/>
          <w:tab w:val="left" w:leader="none" w:pos="8357"/>
        </w:tabs>
        <w:jc w:val="both"/>
        <w:ind w:firstLine="54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размере,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многоква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лицу;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адолже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штрафов,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еней);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надлежа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ерерывам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влекать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отвечающ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ивлече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редвари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0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4"/>
          <w:pgMar w:bottom="0" w:footer="0" w:gutter="0" w:header="0" w:left="1701" w:right="846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  <w:bookmarkEnd w:id="2"/>
    </w:p>
    <w:p>
      <w:pPr>
        <w:rPr>
          <w:rFonts w:ascii="Calibri" w:hAnsi="Calibri" w:cs="Calibri" w:eastAsia="Calibri"/>
          <w:sz w:val="24"/>
          <w:szCs w:val="24"/>
        </w:rPr>
        <w:spacing w:before="0" w:after="35" w:lineRule="exact" w:line="240"/>
      </w:pPr>
      <w:bookmarkStart w:id="3" w:name="_page_7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2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53"/>
          <w:tab w:val="left" w:leader="none" w:pos="2700"/>
          <w:tab w:val="left" w:leader="none" w:pos="4573"/>
          <w:tab w:val="left" w:leader="none" w:pos="4939"/>
          <w:tab w:val="left" w:leader="none" w:pos="6077"/>
          <w:tab w:val="left" w:leader="none" w:pos="8207"/>
        </w:tabs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2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анавливаемым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арифов).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анавливае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18"/>
          <w:tab w:val="left" w:leader="none" w:pos="1696"/>
          <w:tab w:val="left" w:leader="none" w:pos="2694"/>
          <w:tab w:val="left" w:leader="none" w:pos="4368"/>
          <w:tab w:val="left" w:leader="none" w:pos="5275"/>
          <w:tab w:val="left" w:leader="none" w:pos="7974"/>
        </w:tabs>
        <w:jc w:val="both"/>
        <w:ind w:firstLine="540" w:left="0" w:right="-18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несанкционированного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инженерным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системам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доначис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многокварт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02" w:left="2572" w:right="191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аничение,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ьшае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(количес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рсоснабжа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1" w:right="3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4"/>
          <w:pgMar w:bottom="0" w:footer="0" w:gutter="0" w:header="0" w:left="1701" w:right="846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6.4.Предоставле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адолженнос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43"/>
        </w:tabs>
        <w:jc w:val="left"/>
        <w:ind w:firstLine="0" w:left="0" w:right="-59"/>
        <w:spacing w:before="0" w:after="0" w:lineRule="auto" w:line="240"/>
        <w:widowControl w:val="0"/>
      </w:pPr>
      <w:bookmarkStart w:id="4" w:name="_page_1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нальной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1" w:right="2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ограничения,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4"/>
          <w:pgMar w:bottom="0" w:footer="0" w:gutter="0" w:header="0" w:left="1701" w:right="846" w:top="1130"/>
          <w:pgNumType w:fmt="decimal"/>
          <w:cols w:equalWidth="0" w:num="3" w:space="708" w:sep="0">
            <w:col w:w="3816" w:space="211"/>
            <w:col w:w="1542" w:space="218"/>
            <w:col w:w="356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6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неисполнение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обязательств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88"/>
          <w:tab w:val="left" w:leader="none" w:pos="3606"/>
          <w:tab w:val="left" w:leader="none" w:pos="5164"/>
          <w:tab w:val="left" w:leader="none" w:pos="6005"/>
          <w:tab w:val="left" w:leader="none" w:pos="7969"/>
          <w:tab w:val="left" w:leader="none" w:pos="8459"/>
        </w:tabs>
        <w:jc w:val="both"/>
        <w:ind w:firstLine="54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инженерно-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ехнического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обеспечения,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многоквар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невнесение,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несвоевременное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3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0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40" w:left="0" w:right="-5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7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анавлива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4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47"/>
          <w:tab w:val="left" w:leader="none" w:pos="2320"/>
          <w:tab w:val="left" w:leader="none" w:pos="3917"/>
          <w:tab w:val="left" w:leader="none" w:pos="5309"/>
          <w:tab w:val="left" w:leader="none" w:pos="7480"/>
          <w:tab w:val="left" w:leader="none" w:pos="8977"/>
        </w:tabs>
        <w:jc w:val="both"/>
        <w:ind w:firstLine="539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подписываемыми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85"/>
          <w:tab w:val="left" w:leader="none" w:pos="2963"/>
          <w:tab w:val="left" w:leader="none" w:pos="4903"/>
          <w:tab w:val="left" w:leader="none" w:pos="6155"/>
          <w:tab w:val="left" w:leader="none" w:pos="7957"/>
        </w:tabs>
        <w:jc w:val="both"/>
        <w:ind w:firstLine="540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4"/>
          <w:pgMar w:bottom="0" w:footer="0" w:gutter="0" w:header="0" w:left="1701" w:right="846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производ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07.2006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152-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152-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сервисов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ения.</w:t>
      </w:r>
      <w:bookmarkEnd w:id="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20" w:right="-20"/>
        <w:spacing w:before="0" w:after="0" w:lineRule="auto" w:line="240"/>
        <w:widowControl w:val="0"/>
      </w:pPr>
      <w:bookmarkStart w:id="5" w:name="_page_1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лированным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ководствуются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одательством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5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«Жили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832"/>
        </w:tabs>
        <w:jc w:val="left"/>
        <w:ind w:hanging="60" w:left="2880" w:right="12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187110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г.Кири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.Пионерская,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8(81368)246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472701001,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4708001129,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044030653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0" w:left="2940" w:right="4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24163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1024701482321,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41624101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р/с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40702810455310129299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30101810500000000653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80" w:right="78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044030653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Северо-Западный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Сберба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950"/>
        </w:tabs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абжающая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89" w:left="0" w:right="4859"/>
        <w:spacing w:before="0" w:after="0" w:lineRule="auto" w:line="27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Сиваев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.В./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504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'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bookmarkEnd w:id="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04"/>
      <w:pgMar w:bottom="0" w:footer="0" w:gutter="0" w:header="0" w:left="1701" w:right="847" w:top="113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613dac10e2ad4731" /><Relationship Type="http://schemas.openxmlformats.org/officeDocument/2006/relationships/fontTable" Target="fontTable.xml" Id="R24240d57e61a42ad" /><Relationship Type="http://schemas.openxmlformats.org/officeDocument/2006/relationships/settings" Target="settings.xml" Id="R4197fed3df644a0c" /><Relationship Type="http://schemas.openxmlformats.org/officeDocument/2006/relationships/webSettings" Target="webSettings.xml" Id="Rf0499401f1504bb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6</Pages>
  <Words>1845</Words>
  <Characters>14310</Characters>
  <CharactersWithSpaces>16267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